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609E3" w14:textId="77777777" w:rsidR="00372AD8" w:rsidRDefault="00000000">
      <w:pPr>
        <w:jc w:val="center"/>
      </w:pPr>
      <w:r>
        <w:rPr>
          <w:b/>
          <w:sz w:val="28"/>
        </w:rPr>
        <w:t>Absolute Relativity (AR): Context-Level Ordering and Publication as a Generative Model of Nature</w:t>
      </w:r>
    </w:p>
    <w:p w14:paraId="1A864207" w14:textId="77777777" w:rsidR="00372AD8" w:rsidRDefault="00000000">
      <w:pPr>
        <w:spacing w:after="120"/>
        <w:jc w:val="center"/>
      </w:pPr>
      <w:r>
        <w:t>Kent Nimmo — kent@absoluterelativity.org</w:t>
      </w:r>
    </w:p>
    <w:p w14:paraId="2B9FC3FC" w14:textId="77777777" w:rsidR="00372AD8" w:rsidRDefault="00000000">
      <w:pPr>
        <w:spacing w:before="80" w:after="0"/>
      </w:pPr>
      <w:r>
        <w:rPr>
          <w:b/>
        </w:rPr>
        <w:t>1. Overview and central claim</w:t>
      </w:r>
    </w:p>
    <w:p w14:paraId="2B2E724A" w14:textId="77777777" w:rsidR="00372AD8" w:rsidRDefault="00000000">
      <w:r>
        <w:t>Absolute Relativity (AR) is a mathematical generative model whose primitive is the present-act: a discrete “now” plus a structured set of admissible relations to other possible presents. AR does not assume time as a background parameter; temporal order is the ordering induced by compatibility constraints among present-acts. Qualia is not appended as an interpretation layer: the updated object is the present-act and its relational compatibility structure, while world structure is the stabilized publication of how present-acts cohere under constraint.</w:t>
      </w:r>
    </w:p>
    <w:p w14:paraId="12F0BE3F" w14:textId="77777777" w:rsidR="00215ACC" w:rsidRDefault="00215ACC"/>
    <w:p w14:paraId="2FE34F42" w14:textId="77777777" w:rsidR="00372AD8" w:rsidRDefault="00000000">
      <w:r>
        <w:t>AR’s core structural claim is that nature is organized as a context ladder (..., −2, −1, 0, +1, +2, +3, ...), where every level is the same underlying substrate (present/quality), but each index denotes a different constraint role governing integration and publication. Objective regularities arise when many local present-relations stabilize into shared, inter-agent public tokens under the publication contract (the +1 role). Biological organization corresponds to stable integration regimes across inner roles (e.g., −1/−2) within the same ladder. The ladder is scale-anchored (nano → micron → UGM → Earth → galactic → observable boundary).</w:t>
      </w:r>
    </w:p>
    <w:p w14:paraId="1B8F1A85" w14:textId="77777777" w:rsidR="00215ACC" w:rsidRDefault="00215ACC"/>
    <w:p w14:paraId="3E6470AB" w14:textId="77777777" w:rsidR="00372AD8" w:rsidRDefault="00000000">
      <w:r>
        <w:t>Mechanistically, AR is specified as a present-act publication engine: at each tick, the engine enumerates a finite candidate set, enforces hinge/representation compatibility in a finite feature alphabet, filters candidates through a fixed bundle of feasibility gates, applies deterministic acceptance, and invokes probability only if a true structural tie remains (ties-only PF/Born). This pipeline targets SR-like invariants, QM-like measurement/interference signatures, and gravity-like envelopes as diagnostic consequences of one publication rule.</w:t>
      </w:r>
    </w:p>
    <w:p w14:paraId="7EBB15EE" w14:textId="77777777" w:rsidR="00215ACC" w:rsidRDefault="00215ACC"/>
    <w:p w14:paraId="2E4313DC" w14:textId="77777777" w:rsidR="00372AD8" w:rsidRDefault="00000000">
      <w:pPr>
        <w:spacing w:before="80" w:after="0"/>
      </w:pPr>
      <w:r>
        <w:rPr>
          <w:b/>
        </w:rPr>
        <w:t>2. Formal mechanism: finite selection with ties-only probability</w:t>
      </w:r>
    </w:p>
    <w:p w14:paraId="5E5D9A30" w14:textId="77777777" w:rsidR="00372AD8" w:rsidRDefault="00000000">
      <w:r>
        <w:t xml:space="preserve">A run is specified by a frozen manifest 𝓜 (feature alphabet, hinge maps, feasibility gates, acceptance ordering, and logging requirements). At tick k, the engine enumerates a finite candidate set of admissible continuations. For clarity, let </w:t>
      </w:r>
      <w:proofErr w:type="gramStart"/>
      <w:r>
        <w:t>W_{</w:t>
      </w:r>
      <w:proofErr w:type="gramEnd"/>
      <w:r>
        <w:t xml:space="preserve">k+1} denote outward/public-facing candidate world tokens, Q_k denote inward/retention-compatible candidates, Ξ a finite feature alphabet, and feature maps </w:t>
      </w:r>
      <w:proofErr w:type="gramStart"/>
      <w:r>
        <w:t>f_{</w:t>
      </w:r>
      <w:proofErr w:type="gramEnd"/>
      <w:r>
        <w:t>k+1</w:t>
      </w:r>
      <w:proofErr w:type="gramStart"/>
      <w:r>
        <w:t>}:W</w:t>
      </w:r>
      <w:proofErr w:type="gramEnd"/>
      <w:r>
        <w:t>_{k+</w:t>
      </w:r>
      <w:proofErr w:type="gramStart"/>
      <w:r>
        <w:t>1}→</w:t>
      </w:r>
      <w:proofErr w:type="gramEnd"/>
      <w:r>
        <w:t xml:space="preserve">Ξ and </w:t>
      </w:r>
      <w:proofErr w:type="spellStart"/>
      <w:r>
        <w:t>g_</w:t>
      </w:r>
      <w:proofErr w:type="gramStart"/>
      <w:r>
        <w:t>k:Q</w:t>
      </w:r>
      <w:proofErr w:type="gramEnd"/>
      <w:r>
        <w:t>_k→Ξ</w:t>
      </w:r>
      <w:proofErr w:type="spellEnd"/>
      <w:r>
        <w:t>.</w:t>
      </w:r>
    </w:p>
    <w:p w14:paraId="29FBEB55" w14:textId="77777777" w:rsidR="00215ACC" w:rsidRDefault="00215ACC"/>
    <w:p w14:paraId="47F11747" w14:textId="77777777" w:rsidR="00372AD8" w:rsidRDefault="00000000">
      <w:pPr>
        <w:spacing w:before="40" w:after="80"/>
        <w:jc w:val="center"/>
        <w:rPr>
          <w:i/>
        </w:rPr>
      </w:pPr>
      <w:r>
        <w:rPr>
          <w:i/>
        </w:rPr>
        <w:t>H</w:t>
      </w:r>
      <w:r>
        <w:rPr>
          <w:i/>
          <w:vertAlign w:val="subscript"/>
        </w:rPr>
        <w:t>k→k+1</w:t>
      </w:r>
      <w:r>
        <w:rPr>
          <w:i/>
        </w:rPr>
        <w:t xml:space="preserve"> = </w:t>
      </w:r>
      <w:proofErr w:type="gramStart"/>
      <w:r>
        <w:rPr>
          <w:i/>
        </w:rPr>
        <w:t>{ (w,q</w:t>
      </w:r>
      <w:proofErr w:type="gramEnd"/>
      <w:r>
        <w:rPr>
          <w:i/>
        </w:rPr>
        <w:t>) ∈ W</w:t>
      </w:r>
      <w:r>
        <w:rPr>
          <w:i/>
          <w:vertAlign w:val="subscript"/>
        </w:rPr>
        <w:t>k+1</w:t>
      </w:r>
      <w:r>
        <w:rPr>
          <w:i/>
        </w:rPr>
        <w:t xml:space="preserve"> × </w:t>
      </w:r>
      <w:proofErr w:type="gramStart"/>
      <w:r>
        <w:rPr>
          <w:i/>
        </w:rPr>
        <w:t>Q</w:t>
      </w:r>
      <w:r>
        <w:rPr>
          <w:i/>
          <w:vertAlign w:val="subscript"/>
        </w:rPr>
        <w:t>k</w:t>
      </w:r>
      <w:r>
        <w:rPr>
          <w:i/>
        </w:rPr>
        <w:t xml:space="preserve"> :</w:t>
      </w:r>
      <w:proofErr w:type="gramEnd"/>
      <w:r>
        <w:rPr>
          <w:i/>
        </w:rPr>
        <w:t xml:space="preserve"> f</w:t>
      </w:r>
      <w:r>
        <w:rPr>
          <w:i/>
          <w:vertAlign w:val="subscript"/>
        </w:rPr>
        <w:t>k+1</w:t>
      </w:r>
      <w:r>
        <w:rPr>
          <w:i/>
        </w:rPr>
        <w:t xml:space="preserve">(w) = </w:t>
      </w:r>
      <w:proofErr w:type="spellStart"/>
      <w:r>
        <w:rPr>
          <w:i/>
        </w:rPr>
        <w:t>g</w:t>
      </w:r>
      <w:r>
        <w:rPr>
          <w:i/>
          <w:vertAlign w:val="subscript"/>
        </w:rPr>
        <w:t>k</w:t>
      </w:r>
      <w:proofErr w:type="spellEnd"/>
      <w:r>
        <w:rPr>
          <w:i/>
        </w:rPr>
        <w:t>(q</w:t>
      </w:r>
      <w:proofErr w:type="gramStart"/>
      <w:r>
        <w:rPr>
          <w:i/>
        </w:rPr>
        <w:t>) }</w:t>
      </w:r>
      <w:proofErr w:type="gramEnd"/>
      <w:r>
        <w:rPr>
          <w:i/>
        </w:rPr>
        <w:t>.</w:t>
      </w:r>
    </w:p>
    <w:p w14:paraId="7F354D59" w14:textId="77777777" w:rsidR="00215ACC" w:rsidRDefault="00215ACC">
      <w:pPr>
        <w:spacing w:before="40" w:after="80"/>
        <w:jc w:val="center"/>
      </w:pPr>
    </w:p>
    <w:p w14:paraId="0716D198" w14:textId="77777777" w:rsidR="00372AD8" w:rsidRDefault="00000000">
      <w:r>
        <w:t>Hinge-compatible candidates are filtered by an ordered bundle of feasibility gates declared in 𝓜: structural admissibility, role/context admissibility, stability/tokenizability constraints, and a dedicated feasibility geometry gate (ParentGate, the only gravity encoding in control). Survivors are ranked by a deterministic acceptance ordering. If a unique survivor remains, it is published (committed). If multiple survivors remain exactly co-eligible after all admissible constraints (a true tie), selection is performed only on the tie set via a PF/Born-style tie resolver. Outside true ties, evolution is deterministic.</w:t>
      </w:r>
    </w:p>
    <w:p w14:paraId="11735CAF" w14:textId="77777777" w:rsidR="00372AD8" w:rsidRDefault="00000000">
      <w:r>
        <w:t>Technical falsifier: if an empirical regime requires probabilistic weighting when a unique admissible survivor exists under the declared manifest (i.e., probability must be invoked outside true ties), the ties-only mechanism fails.</w:t>
      </w:r>
    </w:p>
    <w:p w14:paraId="077A0B5B" w14:textId="77777777" w:rsidR="00215ACC" w:rsidRDefault="00215ACC"/>
    <w:p w14:paraId="11B75C5A" w14:textId="77777777" w:rsidR="00372AD8" w:rsidRDefault="00000000">
      <w:pPr>
        <w:spacing w:before="80" w:after="0"/>
      </w:pPr>
      <w:r>
        <w:rPr>
          <w:b/>
        </w:rPr>
        <w:t>3. Context ladder and scale spine (roles, seams, and OBR typing)</w:t>
      </w:r>
    </w:p>
    <w:p w14:paraId="425E93B4" w14:textId="77777777" w:rsidR="00372AD8" w:rsidRDefault="00000000">
      <w:r>
        <w:lastRenderedPageBreak/>
        <w:t>AR treats context indices as nested roles relative to a hinge 0 (not different substances). In an organism-centered vantage: 0 = organism-centered present-act role; +1 = shared-world publication role (public tokenization); +2 = galactic container role; +3 = outer cosmic shell / observable-boundary role; −1 = cellular/micron integration role; −2 = molecular/nano integration role.</w:t>
      </w:r>
    </w:p>
    <w:p w14:paraId="0876F0D2" w14:textId="77777777" w:rsidR="00215ACC" w:rsidRDefault="00215ACC"/>
    <w:p w14:paraId="41554445" w14:textId="77777777" w:rsidR="00372AD8" w:rsidRDefault="00000000">
      <w:r>
        <w:t>The practical scale spine (orders of magnitude; conventions declared in full materials) is: nanoband (~1–200 nm) → micron band (~0.2–50 μm) → UGM hinge band (~0.1–0.12 mm) → Earth-surface band (role-defined; ~1–100 km) → galactic disk band (role-defined; ~0.3–4 kpc) → observable boundary role (Gpc; particle horizon / maximal publishable causal context).</w:t>
      </w:r>
    </w:p>
    <w:p w14:paraId="0AB79C12" w14:textId="77777777" w:rsidR="00215ACC" w:rsidRDefault="00215ACC"/>
    <w:p w14:paraId="7F28E9C6" w14:textId="77777777" w:rsidR="00372AD8" w:rsidRDefault="00000000">
      <w:r>
        <w:t xml:space="preserve">A central claim is that transitions between adjacent roles exhibit seam windows: bounded regimes where constraints and tokenization behavior shift, leaving measurable signatures (pivot clustering, dimensional diagnostic plateaus, activation/regime shifts, </w:t>
      </w:r>
      <w:proofErr w:type="gramStart"/>
      <w:r>
        <w:t>bounded</w:t>
      </w:r>
      <w:proofErr w:type="gramEnd"/>
      <w:r>
        <w:t xml:space="preserve"> biological windows).</w:t>
      </w:r>
    </w:p>
    <w:p w14:paraId="1774DA3A" w14:textId="77777777" w:rsidR="00215ACC" w:rsidRDefault="00215ACC"/>
    <w:p w14:paraId="5F9D418C" w14:textId="77777777" w:rsidR="00372AD8" w:rsidRDefault="00000000">
      <w:r>
        <w:t xml:space="preserve">Outer-Boundary Read Rule (OBR): depth-typed read → radius and span-typed read → diameter. </w:t>
      </w:r>
      <w:proofErr w:type="gramStart"/>
      <w:r>
        <w:t>In particular, UGM</w:t>
      </w:r>
      <w:proofErr w:type="gramEnd"/>
      <w:r>
        <w:t xml:space="preserve"> uses the observable-boundary diameter D_obs = 2R_obs as its outer endpoint token, while the gravity amplitude χ uses the observable-boundary radius R_obs; the read type is recorded explicitly in the manifest.</w:t>
      </w:r>
    </w:p>
    <w:p w14:paraId="7824DFDA" w14:textId="77777777" w:rsidR="00215ACC" w:rsidRDefault="00215ACC"/>
    <w:p w14:paraId="2EE87200" w14:textId="77777777" w:rsidR="00372AD8" w:rsidRDefault="00000000">
      <w:pPr>
        <w:spacing w:before="80" w:after="0"/>
      </w:pPr>
      <w:r>
        <w:rPr>
          <w:b/>
        </w:rPr>
        <w:t>4. Domain readouts and test targets</w:t>
      </w:r>
    </w:p>
    <w:p w14:paraId="266A312F" w14:textId="77777777" w:rsidR="00372AD8" w:rsidRDefault="00000000">
      <w:r>
        <w:t>AR treats familiar domains (SR/QM/GR, biology, astro) as readouts of the same engine operating on the scale-anchored ladder.</w:t>
      </w:r>
    </w:p>
    <w:p w14:paraId="2E04EF53" w14:textId="77777777" w:rsidR="00215ACC" w:rsidRDefault="00215ACC"/>
    <w:p w14:paraId="52EDA0FB" w14:textId="77777777" w:rsidR="00372AD8" w:rsidRDefault="00000000">
      <w:r>
        <w:t>SR-like kinematics (expressibility constraints). SR-like structure is implemented as an admissibility/typing constraint on committed acts rather than assumed as background geometry. In realizations, acts carry typed budgets (Δτ, Δt, Δx) satisfying an invariant interval-style admissibility condition:</w:t>
      </w:r>
    </w:p>
    <w:p w14:paraId="01458CE9" w14:textId="77777777" w:rsidR="00372AD8" w:rsidRDefault="00000000">
      <w:pPr>
        <w:spacing w:before="40" w:after="80"/>
        <w:jc w:val="center"/>
        <w:rPr>
          <w:i/>
          <w:vertAlign w:val="superscript"/>
        </w:rPr>
      </w:pPr>
      <w:r>
        <w:rPr>
          <w:i/>
        </w:rPr>
        <w:t>Δt</w:t>
      </w:r>
      <w:r>
        <w:rPr>
          <w:i/>
          <w:vertAlign w:val="superscript"/>
        </w:rPr>
        <w:t>2</w:t>
      </w:r>
      <w:r>
        <w:rPr>
          <w:i/>
        </w:rPr>
        <w:t xml:space="preserve"> = Δτ</w:t>
      </w:r>
      <w:r>
        <w:rPr>
          <w:i/>
          <w:vertAlign w:val="superscript"/>
        </w:rPr>
        <w:t>2</w:t>
      </w:r>
      <w:r>
        <w:rPr>
          <w:i/>
        </w:rPr>
        <w:t xml:space="preserve"> + Δx</w:t>
      </w:r>
      <w:r>
        <w:rPr>
          <w:i/>
          <w:vertAlign w:val="superscript"/>
        </w:rPr>
        <w:t>2</w:t>
      </w:r>
      <w:r>
        <w:rPr>
          <w:i/>
        </w:rPr>
        <w:t xml:space="preserve"> / c</w:t>
      </w:r>
      <w:r>
        <w:rPr>
          <w:i/>
          <w:vertAlign w:val="superscript"/>
        </w:rPr>
        <w:t>2</w:t>
      </w:r>
    </w:p>
    <w:p w14:paraId="48CACDA1" w14:textId="77777777" w:rsidR="00215ACC" w:rsidRDefault="00215ACC">
      <w:pPr>
        <w:spacing w:before="40" w:after="80"/>
        <w:jc w:val="center"/>
      </w:pPr>
    </w:p>
    <w:p w14:paraId="643B844F" w14:textId="77777777" w:rsidR="00372AD8" w:rsidRDefault="00000000">
      <w:r>
        <w:t>Here c functions as the conversion constant in the admissibility typing (not a field inserted into control). Lorentz-like dilation/cone behavior follows as a structural property of admissible sequences under 𝓜.</w:t>
      </w:r>
    </w:p>
    <w:p w14:paraId="5A4FB758" w14:textId="77777777" w:rsidR="00372AD8" w:rsidRDefault="00000000">
      <w:r>
        <w:t>QM-like signatures (co-eligibility + publication). When multiple branches remain hinge-compatible and feasible up to publication, the engine may reach a true tie set; only then does PF/Born selection apply. Which-way constraints eliminate tie structure and classicalize diagnostics.</w:t>
      </w:r>
    </w:p>
    <w:p w14:paraId="3F399ECF" w14:textId="77777777" w:rsidR="00372AD8" w:rsidRDefault="00000000">
      <w:r>
        <w:t>Gravity-like envelopes (ParentGate + χ). Gravity is encoded in control only via ParentGate (feasibility geometry), which biases survival of outward candidates as a function of distance-from-center and context role. The amplitude is set by a unit-free scale-spine ratio:</w:t>
      </w:r>
    </w:p>
    <w:p w14:paraId="49FB7AE2" w14:textId="77777777" w:rsidR="00215ACC" w:rsidRDefault="00215ACC"/>
    <w:p w14:paraId="208E3DFF" w14:textId="77777777" w:rsidR="00372AD8" w:rsidRDefault="00000000">
      <w:pPr>
        <w:spacing w:before="40" w:after="80"/>
        <w:jc w:val="center"/>
        <w:rPr>
          <w:i/>
        </w:rPr>
      </w:pPr>
      <w:r>
        <w:rPr>
          <w:i/>
        </w:rPr>
        <w:t>χ = R</w:t>
      </w:r>
      <w:r>
        <w:rPr>
          <w:i/>
          <w:vertAlign w:val="subscript"/>
        </w:rPr>
        <w:t>⊕</w:t>
      </w:r>
      <w:r>
        <w:rPr>
          <w:i/>
          <w:vertAlign w:val="superscript"/>
        </w:rPr>
        <w:t>2</w:t>
      </w:r>
      <w:r>
        <w:rPr>
          <w:i/>
        </w:rPr>
        <w:t xml:space="preserve"> / (UGM · R</w:t>
      </w:r>
      <w:r>
        <w:rPr>
          <w:i/>
          <w:vertAlign w:val="subscript"/>
        </w:rPr>
        <w:t>obs</w:t>
      </w:r>
      <w:r>
        <w:rPr>
          <w:i/>
        </w:rPr>
        <w:t>)</w:t>
      </w:r>
    </w:p>
    <w:p w14:paraId="308D4C14" w14:textId="77777777" w:rsidR="00215ACC" w:rsidRDefault="00215ACC">
      <w:pPr>
        <w:spacing w:before="40" w:after="80"/>
        <w:jc w:val="center"/>
      </w:pPr>
    </w:p>
    <w:p w14:paraId="0BED2E77" w14:textId="77777777" w:rsidR="00372AD8" w:rsidRDefault="00000000">
      <w:r>
        <w:t>Depending on benchmark choice (surface potential vs compactness), χ or 2χ is the relevant dimensionless comparison. Targets include weak-field deflection ~1/b, Shapiro-like delay with logarithmic dependence on impact parameter, and redshift via shell tick-rate differentials under a single amplitude family.</w:t>
      </w:r>
    </w:p>
    <w:p w14:paraId="251C4201" w14:textId="77777777" w:rsidR="00372AD8" w:rsidRDefault="00000000">
      <w:r>
        <w:t xml:space="preserve">Biology and seam-window programs. Biological organization is treated as a stable integration regime of the same ladder/publication mechanism: inner roles (−1/−2) correspond to high coupling-density integration patterns that, when stabilized into +1 shared tokens, appear as biological structures. Biology </w:t>
      </w:r>
      <w:r>
        <w:lastRenderedPageBreak/>
        <w:t>claims are evaluated via seam-window programs (e.g., BioBand; DNA/QM nanoband) with explicit controls.</w:t>
      </w:r>
    </w:p>
    <w:p w14:paraId="481CF1BC" w14:textId="77777777" w:rsidR="00372AD8" w:rsidRDefault="00000000">
      <w:r>
        <w:t>Galactic role (+2) and astro seam targets. A +2 role yields galactic-scale seam targets (e.g., activation/regime shifts at Milky-Way-like scales) evaluated under frozen analysis rules.</w:t>
      </w:r>
    </w:p>
    <w:p w14:paraId="19729D2E" w14:textId="77777777" w:rsidR="00372AD8" w:rsidRDefault="00000000">
      <w:pPr>
        <w:spacing w:before="80" w:after="0"/>
        <w:rPr>
          <w:b/>
        </w:rPr>
      </w:pPr>
      <w:r>
        <w:rPr>
          <w:b/>
        </w:rPr>
        <w:t>5. Evidence posture, audit discipline, refuters, and reviewer ask</w:t>
      </w:r>
    </w:p>
    <w:p w14:paraId="699A7214" w14:textId="77777777" w:rsidR="00215ACC" w:rsidRDefault="00215ACC">
      <w:pPr>
        <w:spacing w:before="80" w:after="0"/>
      </w:pPr>
    </w:p>
    <w:p w14:paraId="5D04A60E" w14:textId="77777777" w:rsidR="00372AD8" w:rsidRDefault="00000000">
      <w:r>
        <w:t>AR uses a receipt-first posture: conventions are frozen; diagnostics cannot steer selection; and runs are replayable from manifest + logs + declared seeds. A WorkSpeaks-style protocol pre-commits conventions and preserves negative results (available on request; not a replacement for peer review).</w:t>
      </w:r>
    </w:p>
    <w:p w14:paraId="166357B5" w14:textId="77777777" w:rsidR="00372AD8" w:rsidRDefault="00000000">
      <w:r>
        <w:t>Representative refuters: (1) probability required outside true ties; (2) gravity requiring mechanisms beyond ParentGate + declared χ-family; (3) radius/diameter switching without explicit OBR typing; (4) seam-program predictions failing under frozen analysis.</w:t>
      </w:r>
    </w:p>
    <w:p w14:paraId="4D589C39" w14:textId="77777777" w:rsidR="00215ACC" w:rsidRDefault="00215ACC"/>
    <w:p w14:paraId="7C286E73" w14:textId="77777777" w:rsidR="00372AD8" w:rsidRDefault="00000000">
      <w:r>
        <w:t xml:space="preserve">Reviewer ask (low friction): a coherence check on primitives (present-act, ladder roles, publication contract) and the engine contract (finite candidates, hinge equality, feasibility gates, ties-only probability), plus routing guidance if this is not your lane. Materials on request: χ/OBR convention note, WSP/audit roadmap, minimal reproducible engine pack, and evidence </w:t>
      </w:r>
      <w:proofErr w:type="gramStart"/>
      <w:r>
        <w:t>bundles</w:t>
      </w:r>
      <w:proofErr w:type="gramEnd"/>
      <w:r>
        <w:t>.</w:t>
      </w:r>
    </w:p>
    <w:p w14:paraId="43B465E7" w14:textId="77777777" w:rsidR="00393A77" w:rsidRDefault="00393A77"/>
    <w:p w14:paraId="76C54B5C" w14:textId="77777777" w:rsidR="00393A77" w:rsidRPr="00393A77" w:rsidRDefault="00393A77" w:rsidP="00393A77">
      <w:pPr>
        <w:pBdr>
          <w:bottom w:val="single" w:sz="6" w:space="1" w:color="auto"/>
        </w:pBdr>
        <w:spacing w:before="100" w:beforeAutospacing="1" w:after="100" w:afterAutospacing="1"/>
        <w:rPr>
          <w:rFonts w:eastAsia="Times New Roman" w:cs="Times New Roman"/>
          <w:sz w:val="24"/>
          <w:szCs w:val="24"/>
        </w:rPr>
      </w:pPr>
    </w:p>
    <w:p w14:paraId="09E91225" w14:textId="1BE209C7" w:rsidR="00393A77" w:rsidRPr="00393A77" w:rsidRDefault="00393A77" w:rsidP="00393A77">
      <w:pPr>
        <w:spacing w:before="100" w:beforeAutospacing="1" w:after="100" w:afterAutospacing="1"/>
        <w:rPr>
          <w:rFonts w:eastAsia="Times New Roman" w:cs="Times New Roman"/>
          <w:sz w:val="24"/>
          <w:szCs w:val="24"/>
        </w:rPr>
      </w:pPr>
      <w:proofErr w:type="spellStart"/>
      <w:r w:rsidRPr="00393A77">
        <w:rPr>
          <w:rFonts w:eastAsia="Times New Roman" w:cs="Times New Roman"/>
          <w:b/>
          <w:bCs/>
          <w:sz w:val="24"/>
          <w:szCs w:val="24"/>
        </w:rPr>
        <w:t>WorkSpeaks</w:t>
      </w:r>
      <w:proofErr w:type="spellEnd"/>
      <w:r w:rsidRPr="00393A77">
        <w:rPr>
          <w:rFonts w:eastAsia="Times New Roman" w:cs="Times New Roman"/>
          <w:b/>
          <w:bCs/>
          <w:sz w:val="24"/>
          <w:szCs w:val="24"/>
        </w:rPr>
        <w:t xml:space="preserve"> Protocol (WSP) / Verification</w:t>
      </w:r>
      <w:r w:rsidRPr="00393A77">
        <w:rPr>
          <w:rFonts w:eastAsia="Times New Roman" w:cs="Times New Roman"/>
          <w:sz w:val="24"/>
          <w:szCs w:val="24"/>
        </w:rPr>
        <w:br/>
        <w:t xml:space="preserve">This summary is recorded in the Absolute Relativity </w:t>
      </w:r>
      <w:proofErr w:type="spellStart"/>
      <w:r w:rsidRPr="00393A77">
        <w:rPr>
          <w:rFonts w:eastAsia="Times New Roman" w:cs="Times New Roman"/>
          <w:sz w:val="24"/>
          <w:szCs w:val="24"/>
        </w:rPr>
        <w:t>WorkSpeaks</w:t>
      </w:r>
      <w:proofErr w:type="spellEnd"/>
      <w:r w:rsidRPr="00393A77">
        <w:rPr>
          <w:rFonts w:eastAsia="Times New Roman" w:cs="Times New Roman"/>
          <w:sz w:val="24"/>
          <w:szCs w:val="24"/>
        </w:rPr>
        <w:t xml:space="preserve"> Protocol proof trail as </w:t>
      </w:r>
      <w:r w:rsidRPr="00393A77">
        <w:rPr>
          <w:rFonts w:eastAsia="Times New Roman" w:cs="Times New Roman"/>
          <w:b/>
          <w:bCs/>
          <w:sz w:val="24"/>
          <w:szCs w:val="24"/>
        </w:rPr>
        <w:t>Artifacts Index Item 1</w:t>
      </w:r>
      <w:r w:rsidR="000A332D">
        <w:rPr>
          <w:rFonts w:eastAsia="Times New Roman" w:cs="Times New Roman"/>
          <w:b/>
          <w:bCs/>
          <w:sz w:val="24"/>
          <w:szCs w:val="24"/>
        </w:rPr>
        <w:t>0</w:t>
      </w:r>
      <w:r w:rsidRPr="00393A77">
        <w:rPr>
          <w:rFonts w:eastAsia="Times New Roman" w:cs="Times New Roman"/>
          <w:b/>
          <w:bCs/>
          <w:sz w:val="24"/>
          <w:szCs w:val="24"/>
        </w:rPr>
        <w:t xml:space="preserve"> — </w:t>
      </w:r>
      <w:r w:rsidR="000A332D">
        <w:rPr>
          <w:rFonts w:eastAsia="Times New Roman" w:cs="Times New Roman"/>
          <w:b/>
          <w:bCs/>
          <w:sz w:val="24"/>
          <w:szCs w:val="24"/>
        </w:rPr>
        <w:t>Technical Abstract</w:t>
      </w:r>
      <w:r w:rsidRPr="00393A77">
        <w:rPr>
          <w:rFonts w:eastAsia="Times New Roman" w:cs="Times New Roman"/>
          <w:b/>
          <w:bCs/>
          <w:sz w:val="24"/>
          <w:szCs w:val="24"/>
        </w:rPr>
        <w:t xml:space="preserve"> Pack</w:t>
      </w:r>
      <w:r w:rsidRPr="00393A77">
        <w:rPr>
          <w:rFonts w:eastAsia="Times New Roman" w:cs="Times New Roman"/>
          <w:sz w:val="24"/>
          <w:szCs w:val="24"/>
        </w:rPr>
        <w:t>.</w:t>
      </w:r>
      <w:r w:rsidRPr="00393A77">
        <w:rPr>
          <w:rFonts w:eastAsia="Times New Roman" w:cs="Times New Roman"/>
          <w:sz w:val="24"/>
          <w:szCs w:val="24"/>
        </w:rPr>
        <w:br/>
        <w:t>Verify here: https://www.absoluterelativity.org/artifacts-index</w:t>
      </w:r>
    </w:p>
    <w:p w14:paraId="4D69C386" w14:textId="77777777" w:rsidR="00393A77" w:rsidRPr="00393A77" w:rsidRDefault="00393A77" w:rsidP="00393A77">
      <w:pPr>
        <w:spacing w:before="100" w:beforeAutospacing="1" w:after="100" w:afterAutospacing="1"/>
        <w:rPr>
          <w:rFonts w:eastAsia="Times New Roman" w:cs="Times New Roman"/>
          <w:sz w:val="24"/>
          <w:szCs w:val="24"/>
        </w:rPr>
      </w:pPr>
      <w:r w:rsidRPr="00393A77">
        <w:rPr>
          <w:rFonts w:eastAsia="Times New Roman" w:cs="Times New Roman"/>
          <w:sz w:val="24"/>
          <w:szCs w:val="24"/>
        </w:rPr>
        <w:t>Project identity markers (not investment instruments):</w:t>
      </w:r>
    </w:p>
    <w:p w14:paraId="6D7EBA5A" w14:textId="77777777" w:rsidR="00393A77" w:rsidRPr="00393A77" w:rsidRDefault="00393A77" w:rsidP="00393A77">
      <w:pPr>
        <w:numPr>
          <w:ilvl w:val="0"/>
          <w:numId w:val="10"/>
        </w:numPr>
        <w:spacing w:before="100" w:beforeAutospacing="1" w:after="100" w:afterAutospacing="1" w:line="278" w:lineRule="auto"/>
        <w:rPr>
          <w:rFonts w:eastAsia="Times New Roman" w:cs="Times New Roman"/>
          <w:sz w:val="24"/>
          <w:szCs w:val="24"/>
        </w:rPr>
      </w:pPr>
      <w:r w:rsidRPr="00393A77">
        <w:rPr>
          <w:rFonts w:eastAsia="Times New Roman" w:cs="Times New Roman"/>
          <w:sz w:val="24"/>
          <w:szCs w:val="24"/>
        </w:rPr>
        <w:t>ETH (ERC-20) contract: 0xAacCd7bA616405C184335F193fEf080fC982921F</w:t>
      </w:r>
    </w:p>
    <w:p w14:paraId="31C00442" w14:textId="77777777" w:rsidR="00393A77" w:rsidRPr="00393A77" w:rsidRDefault="00393A77" w:rsidP="00393A77">
      <w:pPr>
        <w:numPr>
          <w:ilvl w:val="0"/>
          <w:numId w:val="10"/>
        </w:numPr>
        <w:spacing w:before="100" w:beforeAutospacing="1" w:after="100" w:afterAutospacing="1" w:line="278" w:lineRule="auto"/>
        <w:rPr>
          <w:rFonts w:eastAsia="Times New Roman" w:cs="Times New Roman"/>
          <w:sz w:val="24"/>
          <w:szCs w:val="24"/>
        </w:rPr>
      </w:pPr>
      <w:r w:rsidRPr="00393A77">
        <w:rPr>
          <w:rFonts w:eastAsia="Times New Roman" w:cs="Times New Roman"/>
          <w:sz w:val="24"/>
          <w:szCs w:val="24"/>
        </w:rPr>
        <w:t>SOL (SPL) mint: ARafKuCqRgszXZWjYGWyBT7GnLZkyiaXQd1YjXC1x224</w:t>
      </w:r>
    </w:p>
    <w:p w14:paraId="2E7031AB" w14:textId="77777777" w:rsidR="00393A77" w:rsidRPr="00393A77" w:rsidRDefault="00393A77" w:rsidP="00393A77">
      <w:pPr>
        <w:numPr>
          <w:ilvl w:val="0"/>
          <w:numId w:val="10"/>
        </w:numPr>
        <w:spacing w:before="100" w:beforeAutospacing="1" w:after="100" w:afterAutospacing="1" w:line="278" w:lineRule="auto"/>
        <w:rPr>
          <w:rFonts w:eastAsia="Times New Roman" w:cs="Times New Roman"/>
          <w:sz w:val="24"/>
          <w:szCs w:val="24"/>
        </w:rPr>
      </w:pPr>
      <w:r w:rsidRPr="00393A77">
        <w:rPr>
          <w:rFonts w:eastAsia="Times New Roman" w:cs="Times New Roman"/>
          <w:sz w:val="24"/>
          <w:szCs w:val="24"/>
        </w:rPr>
        <w:t>Provenance wallet: 0x1F06ea3554aE665e713a637eD136a5065C9cD787</w:t>
      </w:r>
    </w:p>
    <w:p w14:paraId="39660ABA" w14:textId="77777777" w:rsidR="00393A77" w:rsidRDefault="00393A77"/>
    <w:sectPr w:rsidR="00393A77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321A2D"/>
    <w:multiLevelType w:val="multilevel"/>
    <w:tmpl w:val="B5D4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8978224">
    <w:abstractNumId w:val="8"/>
  </w:num>
  <w:num w:numId="2" w16cid:durableId="1940141637">
    <w:abstractNumId w:val="6"/>
  </w:num>
  <w:num w:numId="3" w16cid:durableId="86074583">
    <w:abstractNumId w:val="5"/>
  </w:num>
  <w:num w:numId="4" w16cid:durableId="2130929929">
    <w:abstractNumId w:val="4"/>
  </w:num>
  <w:num w:numId="5" w16cid:durableId="1777016280">
    <w:abstractNumId w:val="7"/>
  </w:num>
  <w:num w:numId="6" w16cid:durableId="1084692358">
    <w:abstractNumId w:val="3"/>
  </w:num>
  <w:num w:numId="7" w16cid:durableId="1354114906">
    <w:abstractNumId w:val="2"/>
  </w:num>
  <w:num w:numId="8" w16cid:durableId="1182820058">
    <w:abstractNumId w:val="1"/>
  </w:num>
  <w:num w:numId="9" w16cid:durableId="338123497">
    <w:abstractNumId w:val="0"/>
  </w:num>
  <w:num w:numId="10" w16cid:durableId="5321106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4D3F"/>
    <w:rsid w:val="00034616"/>
    <w:rsid w:val="0006063C"/>
    <w:rsid w:val="000A332D"/>
    <w:rsid w:val="0015074B"/>
    <w:rsid w:val="00215ACC"/>
    <w:rsid w:val="0029639D"/>
    <w:rsid w:val="00326F90"/>
    <w:rsid w:val="00372AD8"/>
    <w:rsid w:val="00393A77"/>
    <w:rsid w:val="00AA1D8D"/>
    <w:rsid w:val="00AF3E0B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544F2A45-9619-4A1B-A57B-2F5EB50B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pPr>
      <w:spacing w:after="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1152</Words>
  <Characters>7263</Characters>
  <Application>Microsoft Office Word</Application>
  <DocSecurity>0</DocSecurity>
  <Lines>99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kent nimmo</cp:lastModifiedBy>
  <cp:revision>5</cp:revision>
  <dcterms:created xsi:type="dcterms:W3CDTF">2013-12-23T23:15:00Z</dcterms:created>
  <dcterms:modified xsi:type="dcterms:W3CDTF">2026-01-20T08:08:00Z</dcterms:modified>
  <cp:category/>
</cp:coreProperties>
</file>